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22DCD" w14:textId="77777777" w:rsidR="00F94286" w:rsidRPr="00CD151F" w:rsidRDefault="00F94286" w:rsidP="00F94286"/>
    <w:p w14:paraId="62D3C984" w14:textId="755D4DBA" w:rsidR="00F94286" w:rsidRPr="00CD151F" w:rsidRDefault="00F94286" w:rsidP="00F94286">
      <w:pPr>
        <w:jc w:val="center"/>
        <w:rPr>
          <w:b/>
          <w:u w:val="single"/>
        </w:rPr>
      </w:pPr>
      <w:r w:rsidRPr="00CD151F">
        <w:rPr>
          <w:noProof/>
        </w:rPr>
        <mc:AlternateContent>
          <mc:Choice Requires="wps">
            <w:drawing>
              <wp:anchor distT="4294967295" distB="4294967295" distL="114300" distR="114300" simplePos="0" relativeHeight="251660288" behindDoc="0" locked="0" layoutInCell="1" allowOverlap="1" wp14:anchorId="3D95D1FF" wp14:editId="37A608DE">
                <wp:simplePos x="0" y="0"/>
                <wp:positionH relativeFrom="column">
                  <wp:posOffset>-104775</wp:posOffset>
                </wp:positionH>
                <wp:positionV relativeFrom="paragraph">
                  <wp:posOffset>581025</wp:posOffset>
                </wp:positionV>
                <wp:extent cx="6257925" cy="0"/>
                <wp:effectExtent l="0" t="0" r="0" b="0"/>
                <wp:wrapNone/>
                <wp:docPr id="164759955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A486DA1"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45.75pt" to="484.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" strokecolor="#4a7ebb">
                <o:lock v:ext="edit" shapetype="f"/>
              </v:line>
            </w:pict>
          </mc:Fallback>
        </mc:AlternateContent>
      </w:r>
      <w:r w:rsidRPr="00CD151F">
        <w:rPr>
          <w:noProof/>
        </w:rPr>
        <mc:AlternateContent>
          <mc:Choice Requires="wps">
            <w:drawing>
              <wp:anchor distT="4294967295" distB="4294967295" distL="114300" distR="114300" simplePos="0" relativeHeight="251659264" behindDoc="0" locked="0" layoutInCell="1" allowOverlap="1" wp14:anchorId="77AEEF55" wp14:editId="0D20830C">
                <wp:simplePos x="0" y="0"/>
                <wp:positionH relativeFrom="column">
                  <wp:posOffset>-104775</wp:posOffset>
                </wp:positionH>
                <wp:positionV relativeFrom="paragraph">
                  <wp:posOffset>-152400</wp:posOffset>
                </wp:positionV>
                <wp:extent cx="6257925" cy="0"/>
                <wp:effectExtent l="0" t="0" r="0" b="0"/>
                <wp:wrapNone/>
                <wp:docPr id="159866280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1B15C62"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12pt" to="48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" strokecolor="#156082 [3204]" strokeweight="1pt">
                <v:stroke joinstyle="miter"/>
                <o:lock v:ext="edit" shapetype="f"/>
              </v:line>
            </w:pict>
          </mc:Fallback>
        </mc:AlternateContent>
      </w:r>
      <w:r w:rsidRPr="00CD151F">
        <w:rPr>
          <w:b/>
        </w:rPr>
        <w:t>Summary of Content Changes</w:t>
      </w:r>
      <w:r w:rsidRPr="00CD151F">
        <w:rPr>
          <w:b/>
        </w:rPr>
        <w:br/>
        <w:t>202</w:t>
      </w:r>
      <w:r>
        <w:rPr>
          <w:b/>
        </w:rPr>
        <w:t>6</w:t>
      </w:r>
      <w:r w:rsidRPr="00CD151F">
        <w:rPr>
          <w:b/>
        </w:rPr>
        <w:t>.</w:t>
      </w:r>
      <w:r w:rsidR="00A26950">
        <w:rPr>
          <w:b/>
        </w:rPr>
        <w:t>3</w:t>
      </w:r>
      <w:r w:rsidRPr="00CD151F">
        <w:rPr>
          <w:b/>
        </w:rPr>
        <w:t xml:space="preserve"> Update</w:t>
      </w:r>
      <w:r>
        <w:rPr>
          <w:b/>
        </w:rPr>
        <w:t>:</w:t>
      </w:r>
      <w:r w:rsidR="004648F5">
        <w:rPr>
          <w:b/>
        </w:rPr>
        <w:t xml:space="preserve"> </w:t>
      </w:r>
      <w:r w:rsidR="00885579">
        <w:rPr>
          <w:b/>
        </w:rPr>
        <w:t xml:space="preserve">June / </w:t>
      </w:r>
      <w:r w:rsidR="00A26950">
        <w:rPr>
          <w:b/>
        </w:rPr>
        <w:t>July</w:t>
      </w:r>
      <w:r w:rsidR="00C93194">
        <w:rPr>
          <w:b/>
        </w:rPr>
        <w:t xml:space="preserve"> 2026</w:t>
      </w:r>
      <w:r w:rsidRPr="00CD151F">
        <w:rPr>
          <w:b/>
        </w:rPr>
        <w:br/>
      </w:r>
    </w:p>
    <w:p w14:paraId="6E26A472" w14:textId="36C8EB66" w:rsidR="00F94286" w:rsidRDefault="00F94286" w:rsidP="00A932CD">
      <w:r w:rsidRPr="00473C82">
        <w:t>This update includes</w:t>
      </w:r>
      <w:r w:rsidR="00A932CD" w:rsidRPr="00473C82">
        <w:t xml:space="preserve"> revisions to</w:t>
      </w:r>
      <w:r w:rsidR="005B2C08" w:rsidRPr="00473C82">
        <w:t xml:space="preserve"> a </w:t>
      </w:r>
      <w:r w:rsidR="00245F4B" w:rsidRPr="00473C82">
        <w:t xml:space="preserve">governance </w:t>
      </w:r>
      <w:r w:rsidR="005B2C08" w:rsidRPr="00473C82">
        <w:t xml:space="preserve">policy </w:t>
      </w:r>
      <w:r w:rsidR="0004105F" w:rsidRPr="00473C82">
        <w:t xml:space="preserve">to reflect that dependent care costs are now reimbursable, </w:t>
      </w:r>
      <w:r w:rsidR="00D71115" w:rsidRPr="00473C82">
        <w:t xml:space="preserve">the Bank Secrecy Act policy to reflect that institutions are permitted to share information about suspected fraud under </w:t>
      </w:r>
      <w:r w:rsidR="009C5321" w:rsidRPr="00473C82">
        <w:t xml:space="preserve">314(b), a lending policy to define when a written application is required, and six record retention policies/tables to </w:t>
      </w:r>
      <w:r w:rsidR="00B501CB" w:rsidRPr="00473C82">
        <w:t xml:space="preserve">correspond with the NCUA’s recent changes to Part 749 </w:t>
      </w:r>
      <w:r w:rsidR="00473C82" w:rsidRPr="00473C82">
        <w:t xml:space="preserve">– Vital Record Preservation Program </w:t>
      </w:r>
      <w:r w:rsidR="00B501CB" w:rsidRPr="00473C82">
        <w:t>as part of its deregulation project</w:t>
      </w:r>
      <w:r w:rsidR="000E7A46" w:rsidRPr="00473C82">
        <w:t>.</w:t>
      </w:r>
      <w:r w:rsidR="004E7585">
        <w:t xml:space="preserve"> </w:t>
      </w:r>
    </w:p>
    <w:p w14:paraId="0EC93A79" w14:textId="77777777" w:rsidR="00F94286" w:rsidRDefault="00F94286"/>
    <w:p w14:paraId="78DA72C6" w14:textId="48185885" w:rsidR="00F94286" w:rsidRPr="00397CE2" w:rsidRDefault="00CE612B" w:rsidP="00F94286">
      <w:pPr>
        <w:rPr>
          <w:b/>
          <w:bCs/>
          <w:sz w:val="28"/>
          <w:szCs w:val="28"/>
        </w:rPr>
      </w:pPr>
      <w:r>
        <w:rPr>
          <w:b/>
          <w:bCs/>
          <w:sz w:val="28"/>
          <w:szCs w:val="28"/>
        </w:rPr>
        <w:t>June</w:t>
      </w:r>
      <w:r w:rsidR="004669D8">
        <w:rPr>
          <w:b/>
          <w:bCs/>
          <w:sz w:val="28"/>
          <w:szCs w:val="28"/>
        </w:rPr>
        <w:t xml:space="preserve"> 2026</w:t>
      </w:r>
    </w:p>
    <w:p w14:paraId="1F983142" w14:textId="1C090E8B" w:rsidR="00520C36" w:rsidRDefault="003D5BFA" w:rsidP="00F94286">
      <w:pPr>
        <w:spacing w:after="0"/>
        <w:rPr>
          <w:b/>
          <w:bCs/>
          <w:i/>
          <w:iCs/>
        </w:rPr>
      </w:pPr>
      <w:r>
        <w:rPr>
          <w:b/>
          <w:bCs/>
          <w:i/>
          <w:iCs/>
        </w:rPr>
        <w:t>1100.13</w:t>
      </w:r>
      <w:r w:rsidR="009A5310">
        <w:rPr>
          <w:b/>
          <w:bCs/>
          <w:i/>
          <w:iCs/>
        </w:rPr>
        <w:t xml:space="preserve"> – </w:t>
      </w:r>
      <w:r>
        <w:rPr>
          <w:b/>
          <w:bCs/>
          <w:i/>
          <w:iCs/>
        </w:rPr>
        <w:t xml:space="preserve">Compensation, </w:t>
      </w:r>
      <w:r w:rsidR="001B3B1D">
        <w:rPr>
          <w:b/>
          <w:bCs/>
          <w:i/>
          <w:iCs/>
        </w:rPr>
        <w:t xml:space="preserve">Reimbursement, and Indemnification </w:t>
      </w:r>
    </w:p>
    <w:p w14:paraId="22839E65" w14:textId="178E0C18" w:rsidR="009A5310" w:rsidRDefault="009A5310" w:rsidP="00F94286">
      <w:pPr>
        <w:spacing w:after="0"/>
        <w:rPr>
          <w:b/>
          <w:bCs/>
          <w:i/>
          <w:iCs/>
        </w:rPr>
      </w:pPr>
      <w:r>
        <w:rPr>
          <w:b/>
          <w:bCs/>
          <w:i/>
          <w:iCs/>
        </w:rPr>
        <w:t>2026-</w:t>
      </w:r>
      <w:r w:rsidR="001B3B1D">
        <w:rPr>
          <w:b/>
          <w:bCs/>
          <w:i/>
          <w:iCs/>
        </w:rPr>
        <w:t>3</w:t>
      </w:r>
    </w:p>
    <w:p w14:paraId="1936484B" w14:textId="6109A992" w:rsidR="009A5310" w:rsidRPr="009A5310" w:rsidRDefault="00772F0D" w:rsidP="00520C36">
      <w:pPr>
        <w:spacing w:after="0"/>
      </w:pPr>
      <w:r w:rsidRPr="00772F0D">
        <w:t>The model policy has been updated to reflect that as of July 9, 2026, dependent care costs incurred by a volunteer official while attending meetings or performing official credit union duties are reimbursable under NCUA Part 701.33.</w:t>
      </w:r>
      <w:r w:rsidRPr="00772F0D">
        <w:rPr>
          <w:b/>
          <w:bCs/>
        </w:rPr>
        <w:t xml:space="preserve"> </w:t>
      </w:r>
      <w:r w:rsidR="00E367F7" w:rsidRPr="004A17FC">
        <w:rPr>
          <w:b/>
          <w:bCs/>
          <w:color w:val="EE0000"/>
        </w:rPr>
        <w:t>(Recommended)</w:t>
      </w:r>
      <w:r w:rsidR="000E7A46">
        <w:rPr>
          <w:b/>
          <w:bCs/>
          <w:color w:val="EE0000"/>
        </w:rPr>
        <w:br/>
      </w:r>
    </w:p>
    <w:p w14:paraId="1894739F" w14:textId="77777777" w:rsidR="009A5310" w:rsidRDefault="009A5310" w:rsidP="00520C36">
      <w:pPr>
        <w:spacing w:after="0"/>
        <w:rPr>
          <w:b/>
          <w:bCs/>
          <w:i/>
          <w:iCs/>
        </w:rPr>
      </w:pPr>
    </w:p>
    <w:p w14:paraId="0DA5F254" w14:textId="63D3E109" w:rsidR="00520C36" w:rsidRPr="000226AA" w:rsidRDefault="0024142D" w:rsidP="00520C36">
      <w:pPr>
        <w:spacing w:after="0"/>
        <w:rPr>
          <w:b/>
          <w:bCs/>
          <w:i/>
          <w:iCs/>
        </w:rPr>
      </w:pPr>
      <w:r>
        <w:rPr>
          <w:b/>
          <w:bCs/>
          <w:i/>
          <w:iCs/>
        </w:rPr>
        <w:t>2110</w:t>
      </w:r>
      <w:r w:rsidR="00FF0935">
        <w:rPr>
          <w:b/>
          <w:bCs/>
          <w:i/>
          <w:iCs/>
        </w:rPr>
        <w:t xml:space="preserve"> – </w:t>
      </w:r>
      <w:r>
        <w:rPr>
          <w:b/>
          <w:bCs/>
          <w:i/>
          <w:iCs/>
        </w:rPr>
        <w:t xml:space="preserve">Bank Secrecy Act </w:t>
      </w:r>
    </w:p>
    <w:p w14:paraId="324E2F1F" w14:textId="3D829773" w:rsidR="00520C36" w:rsidRDefault="00520C36" w:rsidP="00520C36">
      <w:pPr>
        <w:spacing w:after="0"/>
        <w:rPr>
          <w:b/>
          <w:bCs/>
          <w:i/>
          <w:iCs/>
        </w:rPr>
      </w:pPr>
      <w:r w:rsidRPr="000226AA">
        <w:rPr>
          <w:b/>
          <w:bCs/>
          <w:i/>
          <w:iCs/>
        </w:rPr>
        <w:t>2026-</w:t>
      </w:r>
      <w:r w:rsidR="0024142D">
        <w:rPr>
          <w:b/>
          <w:bCs/>
          <w:i/>
          <w:iCs/>
        </w:rPr>
        <w:t>3</w:t>
      </w:r>
    </w:p>
    <w:p w14:paraId="7C729159" w14:textId="027C9726" w:rsidR="00520C36" w:rsidRDefault="008733B4" w:rsidP="00520C36">
      <w:pPr>
        <w:spacing w:after="0"/>
      </w:pPr>
      <w:r w:rsidRPr="008733B4">
        <w:t>On June 12, 2026, </w:t>
      </w:r>
      <w:hyperlink r:id="rId4" w:history="1">
        <w:r w:rsidRPr="008733B4">
          <w:rPr>
            <w:rStyle w:val="Hyperlink"/>
          </w:rPr>
          <w:t>FinCEN issued guidance</w:t>
        </w:r>
      </w:hyperlink>
      <w:r w:rsidRPr="008733B4">
        <w:t> to clarify how financial institutions </w:t>
      </w:r>
      <w:r w:rsidRPr="008733B4">
        <w:rPr>
          <w:b/>
          <w:bCs/>
        </w:rPr>
        <w:t>CAN</w:t>
      </w:r>
      <w:r w:rsidRPr="008733B4">
        <w:t> share information about suspected fraud under section 314(b) of the USA PATRIOT Act.  The model policy was updated to reflect this change, along with other housekeeping changes.</w:t>
      </w:r>
      <w:r w:rsidRPr="008733B4">
        <w:rPr>
          <w:b/>
          <w:bCs/>
        </w:rPr>
        <w:t xml:space="preserve"> </w:t>
      </w:r>
      <w:r w:rsidR="00520C36" w:rsidRPr="004A17FC">
        <w:rPr>
          <w:b/>
          <w:bCs/>
          <w:color w:val="EE0000"/>
        </w:rPr>
        <w:t>(Recommended)</w:t>
      </w:r>
    </w:p>
    <w:p w14:paraId="092BA801" w14:textId="77777777" w:rsidR="00520C36" w:rsidRDefault="00520C36" w:rsidP="00F94286">
      <w:pPr>
        <w:spacing w:after="0"/>
        <w:rPr>
          <w:b/>
          <w:bCs/>
          <w:i/>
          <w:iCs/>
        </w:rPr>
      </w:pPr>
    </w:p>
    <w:p w14:paraId="6E7AE89B" w14:textId="77777777" w:rsidR="00716172" w:rsidRDefault="00716172" w:rsidP="00F94286">
      <w:pPr>
        <w:spacing w:after="0"/>
        <w:rPr>
          <w:b/>
          <w:bCs/>
          <w:i/>
          <w:iCs/>
        </w:rPr>
      </w:pPr>
    </w:p>
    <w:p w14:paraId="7A05D5DF" w14:textId="057637D0" w:rsidR="00F94286" w:rsidRDefault="00D40284" w:rsidP="00F94286">
      <w:pPr>
        <w:spacing w:after="0"/>
        <w:rPr>
          <w:b/>
          <w:bCs/>
          <w:i/>
          <w:iCs/>
        </w:rPr>
      </w:pPr>
      <w:r>
        <w:rPr>
          <w:b/>
          <w:bCs/>
          <w:i/>
          <w:iCs/>
        </w:rPr>
        <w:t>7115</w:t>
      </w:r>
      <w:r w:rsidR="00F94286">
        <w:rPr>
          <w:b/>
          <w:bCs/>
          <w:i/>
          <w:iCs/>
        </w:rPr>
        <w:t xml:space="preserve"> – </w:t>
      </w:r>
      <w:r>
        <w:rPr>
          <w:b/>
          <w:bCs/>
          <w:i/>
          <w:iCs/>
        </w:rPr>
        <w:t xml:space="preserve">Credit Underwriting Standards </w:t>
      </w:r>
    </w:p>
    <w:p w14:paraId="4085B9E8" w14:textId="182DF02B" w:rsidR="00520C36" w:rsidRDefault="00520C36" w:rsidP="00F94286">
      <w:pPr>
        <w:spacing w:after="0"/>
        <w:rPr>
          <w:b/>
          <w:bCs/>
          <w:i/>
          <w:iCs/>
        </w:rPr>
      </w:pPr>
      <w:r>
        <w:rPr>
          <w:b/>
          <w:bCs/>
          <w:i/>
          <w:iCs/>
        </w:rPr>
        <w:t>2026-</w:t>
      </w:r>
      <w:r w:rsidR="00D40284">
        <w:rPr>
          <w:b/>
          <w:bCs/>
          <w:i/>
          <w:iCs/>
        </w:rPr>
        <w:t>3</w:t>
      </w:r>
    </w:p>
    <w:p w14:paraId="38493E59" w14:textId="343700F7" w:rsidR="00F94286" w:rsidRDefault="00621EC0" w:rsidP="00F94286">
      <w:pPr>
        <w:rPr>
          <w:b/>
          <w:bCs/>
          <w:color w:val="EE0000"/>
        </w:rPr>
      </w:pPr>
      <w:r w:rsidRPr="00621EC0">
        <w:t xml:space="preserve">This policy has been updated to clarify when, by regulation, a written application is required. Additional minor content updates were also made to improve readability. </w:t>
      </w:r>
      <w:r w:rsidRPr="00621EC0">
        <w:rPr>
          <w:b/>
          <w:bCs/>
          <w:color w:val="EE0000"/>
        </w:rPr>
        <w:t>(Required)</w:t>
      </w:r>
      <w:r w:rsidR="002D3E06">
        <w:rPr>
          <w:b/>
          <w:bCs/>
          <w:color w:val="EE0000"/>
        </w:rPr>
        <w:br/>
      </w:r>
    </w:p>
    <w:p w14:paraId="64DD0B88" w14:textId="77777777" w:rsidR="002D3E06" w:rsidRDefault="002D3E06" w:rsidP="00F94286"/>
    <w:p w14:paraId="7DD48041" w14:textId="77777777" w:rsidR="0054483A" w:rsidRDefault="0054483A" w:rsidP="00883328">
      <w:pPr>
        <w:rPr>
          <w:b/>
          <w:bCs/>
          <w:sz w:val="28"/>
          <w:szCs w:val="28"/>
        </w:rPr>
      </w:pPr>
    </w:p>
    <w:p w14:paraId="40F4A512" w14:textId="0FD51D5F" w:rsidR="00883328" w:rsidRPr="00397CE2" w:rsidRDefault="00883328" w:rsidP="00883328">
      <w:pPr>
        <w:rPr>
          <w:b/>
          <w:bCs/>
          <w:sz w:val="28"/>
          <w:szCs w:val="28"/>
        </w:rPr>
      </w:pPr>
      <w:r>
        <w:rPr>
          <w:b/>
          <w:bCs/>
          <w:sz w:val="28"/>
          <w:szCs w:val="28"/>
        </w:rPr>
        <w:t>July 2026</w:t>
      </w:r>
    </w:p>
    <w:p w14:paraId="046D699A" w14:textId="53447BC9" w:rsidR="00883328" w:rsidRDefault="00883328" w:rsidP="00883328">
      <w:pPr>
        <w:spacing w:after="0"/>
        <w:rPr>
          <w:b/>
          <w:bCs/>
          <w:i/>
          <w:iCs/>
        </w:rPr>
      </w:pPr>
      <w:r>
        <w:rPr>
          <w:b/>
          <w:bCs/>
          <w:i/>
          <w:iCs/>
        </w:rPr>
        <w:t>1</w:t>
      </w:r>
      <w:r w:rsidR="002E579D">
        <w:rPr>
          <w:b/>
          <w:bCs/>
          <w:i/>
          <w:iCs/>
        </w:rPr>
        <w:t>0001</w:t>
      </w:r>
      <w:r>
        <w:rPr>
          <w:b/>
          <w:bCs/>
          <w:i/>
          <w:iCs/>
        </w:rPr>
        <w:t xml:space="preserve"> – </w:t>
      </w:r>
      <w:r w:rsidR="002E579D">
        <w:rPr>
          <w:b/>
          <w:bCs/>
          <w:i/>
          <w:iCs/>
        </w:rPr>
        <w:t xml:space="preserve">Records Retention Table 1 Corporate Records </w:t>
      </w:r>
      <w:r>
        <w:rPr>
          <w:b/>
          <w:bCs/>
          <w:i/>
          <w:iCs/>
        </w:rPr>
        <w:t xml:space="preserve"> </w:t>
      </w:r>
    </w:p>
    <w:p w14:paraId="7478E60D" w14:textId="77777777" w:rsidR="00883328" w:rsidRDefault="00883328" w:rsidP="00883328">
      <w:pPr>
        <w:spacing w:after="0"/>
        <w:rPr>
          <w:b/>
          <w:bCs/>
          <w:i/>
          <w:iCs/>
        </w:rPr>
      </w:pPr>
      <w:r>
        <w:rPr>
          <w:b/>
          <w:bCs/>
          <w:i/>
          <w:iCs/>
        </w:rPr>
        <w:t>2026-3</w:t>
      </w:r>
    </w:p>
    <w:p w14:paraId="5D1E67E6" w14:textId="1DA36F82" w:rsidR="00883328" w:rsidRPr="009A5310" w:rsidRDefault="0081053C" w:rsidP="00883328">
      <w:pPr>
        <w:spacing w:after="0"/>
      </w:pPr>
      <w:r w:rsidRPr="0081053C">
        <w:t>On July 16, 2026, the </w:t>
      </w:r>
      <w:hyperlink r:id="rId5" w:history="1">
        <w:r w:rsidRPr="0081053C">
          <w:rPr>
            <w:rStyle w:val="Hyperlink"/>
          </w:rPr>
          <w:t>NCUA’s amended Records Preservation Program</w:t>
        </w:r>
      </w:hyperlink>
      <w:r w:rsidRPr="0081053C">
        <w:t> (Part 749) will become effective. Changes to the Records Retention policies and schedules have been revised to comply with the revisions, and the corresponding deletion of Appendix A – Record Retention Guidelines and Appendix B – Catastrophic Act Preparedness Guidelines.</w:t>
      </w:r>
      <w:r w:rsidR="001C53E4">
        <w:t xml:space="preserve"> </w:t>
      </w:r>
      <w:r w:rsidRPr="001C53E4">
        <w:rPr>
          <w:b/>
          <w:bCs/>
          <w:color w:val="EE0000"/>
        </w:rPr>
        <w:t>(Recommended)</w:t>
      </w:r>
      <w:r w:rsidR="00883328">
        <w:rPr>
          <w:b/>
          <w:bCs/>
          <w:color w:val="EE0000"/>
        </w:rPr>
        <w:br/>
      </w:r>
    </w:p>
    <w:p w14:paraId="7284C109" w14:textId="77777777" w:rsidR="00883328" w:rsidRDefault="00883328" w:rsidP="00883328">
      <w:pPr>
        <w:spacing w:after="0"/>
        <w:rPr>
          <w:b/>
          <w:bCs/>
          <w:i/>
          <w:iCs/>
        </w:rPr>
      </w:pPr>
    </w:p>
    <w:p w14:paraId="69EE7858" w14:textId="5A5B9EB8" w:rsidR="00883328" w:rsidRPr="000226AA" w:rsidRDefault="002E579D" w:rsidP="00883328">
      <w:pPr>
        <w:spacing w:after="0"/>
        <w:rPr>
          <w:b/>
          <w:bCs/>
          <w:i/>
          <w:iCs/>
        </w:rPr>
      </w:pPr>
      <w:r>
        <w:rPr>
          <w:b/>
          <w:bCs/>
          <w:i/>
          <w:iCs/>
        </w:rPr>
        <w:t xml:space="preserve">10005 – Records Retention Table 5 General Accounting </w:t>
      </w:r>
    </w:p>
    <w:p w14:paraId="7C8BAE64" w14:textId="77777777" w:rsidR="00883328" w:rsidRDefault="00883328" w:rsidP="00883328">
      <w:pPr>
        <w:spacing w:after="0"/>
        <w:rPr>
          <w:b/>
          <w:bCs/>
          <w:i/>
          <w:iCs/>
        </w:rPr>
      </w:pPr>
      <w:r w:rsidRPr="000226AA">
        <w:rPr>
          <w:b/>
          <w:bCs/>
          <w:i/>
          <w:iCs/>
        </w:rPr>
        <w:t>2026-</w:t>
      </w:r>
      <w:r>
        <w:rPr>
          <w:b/>
          <w:bCs/>
          <w:i/>
          <w:iCs/>
        </w:rPr>
        <w:t>3</w:t>
      </w:r>
    </w:p>
    <w:p w14:paraId="56BD8DC5" w14:textId="123A31D3" w:rsidR="00883328" w:rsidRDefault="00635855" w:rsidP="00F94286">
      <w:pPr>
        <w:rPr>
          <w:b/>
          <w:bCs/>
          <w:color w:val="EE0000"/>
        </w:rPr>
      </w:pPr>
      <w:r w:rsidRPr="00635855">
        <w:t>On July 16, 2026, the </w:t>
      </w:r>
      <w:hyperlink r:id="rId6" w:history="1">
        <w:r w:rsidRPr="00635855">
          <w:rPr>
            <w:rStyle w:val="Hyperlink"/>
          </w:rPr>
          <w:t>NCUA’s amended Records Preservation Program</w:t>
        </w:r>
      </w:hyperlink>
      <w:r w:rsidRPr="00635855">
        <w:t> (Part 749) will become effective. Changes to the Records Retention policies and schedules have been revised to comply with the revisions, and the corresponding deletion of Appendix A – Record Retention Guidelines and Appendix B – Catastrophic Act Preparedness Guidelines.</w:t>
      </w:r>
      <w:r>
        <w:t xml:space="preserve"> </w:t>
      </w:r>
      <w:r w:rsidRPr="00635855">
        <w:rPr>
          <w:b/>
          <w:bCs/>
          <w:color w:val="EE0000"/>
        </w:rPr>
        <w:t>(Recommended)</w:t>
      </w:r>
    </w:p>
    <w:p w14:paraId="681CB588" w14:textId="77777777" w:rsidR="00DB4E64" w:rsidRDefault="00DB4E64" w:rsidP="00F94286">
      <w:pPr>
        <w:rPr>
          <w:b/>
          <w:bCs/>
          <w:color w:val="EE0000"/>
        </w:rPr>
      </w:pPr>
    </w:p>
    <w:p w14:paraId="550A5E78" w14:textId="1429689F" w:rsidR="00DB4E64" w:rsidRPr="000226AA" w:rsidRDefault="00DB4E64" w:rsidP="00DB4E64">
      <w:pPr>
        <w:spacing w:after="0"/>
        <w:rPr>
          <w:b/>
          <w:bCs/>
          <w:i/>
          <w:iCs/>
        </w:rPr>
      </w:pPr>
      <w:r>
        <w:rPr>
          <w:b/>
          <w:bCs/>
          <w:i/>
          <w:iCs/>
        </w:rPr>
        <w:t>1000</w:t>
      </w:r>
      <w:r w:rsidR="004118B7">
        <w:rPr>
          <w:b/>
          <w:bCs/>
          <w:i/>
          <w:iCs/>
        </w:rPr>
        <w:t>6</w:t>
      </w:r>
      <w:r>
        <w:rPr>
          <w:b/>
          <w:bCs/>
          <w:i/>
          <w:iCs/>
        </w:rPr>
        <w:t xml:space="preserve"> – Records Retention Table </w:t>
      </w:r>
      <w:r w:rsidR="004C0470">
        <w:rPr>
          <w:b/>
          <w:bCs/>
          <w:i/>
          <w:iCs/>
        </w:rPr>
        <w:t>6</w:t>
      </w:r>
      <w:r>
        <w:rPr>
          <w:b/>
          <w:bCs/>
          <w:i/>
          <w:iCs/>
        </w:rPr>
        <w:t xml:space="preserve"> </w:t>
      </w:r>
      <w:r w:rsidR="004C0470">
        <w:rPr>
          <w:b/>
          <w:bCs/>
          <w:i/>
          <w:iCs/>
        </w:rPr>
        <w:t xml:space="preserve">Insurance and Bond Records </w:t>
      </w:r>
    </w:p>
    <w:p w14:paraId="09D6FC69" w14:textId="77777777" w:rsidR="00DB4E64" w:rsidRDefault="00DB4E64" w:rsidP="00DB4E64">
      <w:pPr>
        <w:spacing w:after="0"/>
        <w:rPr>
          <w:b/>
          <w:bCs/>
          <w:i/>
          <w:iCs/>
        </w:rPr>
      </w:pPr>
      <w:r w:rsidRPr="000226AA">
        <w:rPr>
          <w:b/>
          <w:bCs/>
          <w:i/>
          <w:iCs/>
        </w:rPr>
        <w:t>2026-</w:t>
      </w:r>
      <w:r>
        <w:rPr>
          <w:b/>
          <w:bCs/>
          <w:i/>
          <w:iCs/>
        </w:rPr>
        <w:t>3</w:t>
      </w:r>
    </w:p>
    <w:p w14:paraId="179E0151" w14:textId="77777777" w:rsidR="00DB4E64" w:rsidRDefault="00DB4E64" w:rsidP="00DB4E64">
      <w:r w:rsidRPr="00635855">
        <w:t>On July 16, 2026, the </w:t>
      </w:r>
      <w:hyperlink r:id="rId7" w:history="1">
        <w:r w:rsidRPr="00635855">
          <w:rPr>
            <w:rStyle w:val="Hyperlink"/>
          </w:rPr>
          <w:t>NCUA’s amended Records Preservation Program</w:t>
        </w:r>
      </w:hyperlink>
      <w:r w:rsidRPr="00635855">
        <w:t> (Part 749) will become effective. Changes to the Records Retention policies and schedules have been revised to comply with the revisions, and the corresponding deletion of Appendix A – Record Retention Guidelines and Appendix B – Catastrophic Act Preparedness Guidelines.</w:t>
      </w:r>
      <w:r>
        <w:t xml:space="preserve"> </w:t>
      </w:r>
      <w:r w:rsidRPr="00635855">
        <w:rPr>
          <w:b/>
          <w:bCs/>
          <w:color w:val="EE0000"/>
        </w:rPr>
        <w:t>(Recommended)</w:t>
      </w:r>
    </w:p>
    <w:p w14:paraId="619CBCF8" w14:textId="77777777" w:rsidR="00DB4E64" w:rsidRDefault="00DB4E64" w:rsidP="00F94286"/>
    <w:p w14:paraId="23983272" w14:textId="61BB2850" w:rsidR="00DB4E64" w:rsidRPr="000226AA" w:rsidRDefault="00DB4E64" w:rsidP="00DB4E64">
      <w:pPr>
        <w:spacing w:after="0"/>
        <w:rPr>
          <w:b/>
          <w:bCs/>
          <w:i/>
          <w:iCs/>
        </w:rPr>
      </w:pPr>
      <w:r>
        <w:rPr>
          <w:b/>
          <w:bCs/>
          <w:i/>
          <w:iCs/>
        </w:rPr>
        <w:t>1000</w:t>
      </w:r>
      <w:r w:rsidR="004118B7">
        <w:rPr>
          <w:b/>
          <w:bCs/>
          <w:i/>
          <w:iCs/>
        </w:rPr>
        <w:t>7</w:t>
      </w:r>
      <w:r>
        <w:rPr>
          <w:b/>
          <w:bCs/>
          <w:i/>
          <w:iCs/>
        </w:rPr>
        <w:t xml:space="preserve"> – Records Retention Table </w:t>
      </w:r>
      <w:r w:rsidR="00B5468C">
        <w:rPr>
          <w:b/>
          <w:bCs/>
          <w:i/>
          <w:iCs/>
        </w:rPr>
        <w:t>7</w:t>
      </w:r>
      <w:r>
        <w:rPr>
          <w:b/>
          <w:bCs/>
          <w:i/>
          <w:iCs/>
        </w:rPr>
        <w:t xml:space="preserve"> </w:t>
      </w:r>
      <w:r w:rsidR="004118B7">
        <w:rPr>
          <w:b/>
          <w:bCs/>
          <w:i/>
          <w:iCs/>
        </w:rPr>
        <w:t xml:space="preserve">Lending Records </w:t>
      </w:r>
      <w:r>
        <w:rPr>
          <w:b/>
          <w:bCs/>
          <w:i/>
          <w:iCs/>
        </w:rPr>
        <w:t xml:space="preserve"> </w:t>
      </w:r>
    </w:p>
    <w:p w14:paraId="20D407DF" w14:textId="77777777" w:rsidR="00DB4E64" w:rsidRDefault="00DB4E64" w:rsidP="00DB4E64">
      <w:pPr>
        <w:spacing w:after="0"/>
        <w:rPr>
          <w:b/>
          <w:bCs/>
          <w:i/>
          <w:iCs/>
        </w:rPr>
      </w:pPr>
      <w:r w:rsidRPr="000226AA">
        <w:rPr>
          <w:b/>
          <w:bCs/>
          <w:i/>
          <w:iCs/>
        </w:rPr>
        <w:t>2026-</w:t>
      </w:r>
      <w:r>
        <w:rPr>
          <w:b/>
          <w:bCs/>
          <w:i/>
          <w:iCs/>
        </w:rPr>
        <w:t>3</w:t>
      </w:r>
    </w:p>
    <w:p w14:paraId="013EC24B" w14:textId="77777777" w:rsidR="00DB4E64" w:rsidRDefault="00DB4E64" w:rsidP="00DB4E64">
      <w:r w:rsidRPr="00635855">
        <w:t>On July 16, 2026, the </w:t>
      </w:r>
      <w:hyperlink r:id="rId8" w:history="1">
        <w:r w:rsidRPr="00635855">
          <w:rPr>
            <w:rStyle w:val="Hyperlink"/>
          </w:rPr>
          <w:t>NCUA’s amended Records Preservation Program</w:t>
        </w:r>
      </w:hyperlink>
      <w:r w:rsidRPr="00635855">
        <w:t> (Part 749) will become effective. Changes to the Records Retention policies and schedules have been revised to comply with the revisions, and the corresponding deletion of Appendix A – Record Retention Guidelines and Appendix B – Catastrophic Act Preparedness Guidelines.</w:t>
      </w:r>
      <w:r>
        <w:t xml:space="preserve"> </w:t>
      </w:r>
      <w:r w:rsidRPr="00635855">
        <w:rPr>
          <w:b/>
          <w:bCs/>
          <w:color w:val="EE0000"/>
        </w:rPr>
        <w:t>(Recommended)</w:t>
      </w:r>
    </w:p>
    <w:p w14:paraId="782D22E0" w14:textId="03D4F047" w:rsidR="00475AE0" w:rsidRPr="000226AA" w:rsidRDefault="00475AE0" w:rsidP="00475AE0">
      <w:pPr>
        <w:spacing w:after="0"/>
        <w:rPr>
          <w:b/>
          <w:bCs/>
          <w:i/>
          <w:iCs/>
        </w:rPr>
      </w:pPr>
      <w:r>
        <w:rPr>
          <w:b/>
          <w:bCs/>
          <w:i/>
          <w:iCs/>
        </w:rPr>
        <w:lastRenderedPageBreak/>
        <w:t>100</w:t>
      </w:r>
      <w:r w:rsidR="007E6BC4">
        <w:rPr>
          <w:b/>
          <w:bCs/>
          <w:i/>
          <w:iCs/>
        </w:rPr>
        <w:t>11</w:t>
      </w:r>
      <w:r>
        <w:rPr>
          <w:b/>
          <w:bCs/>
          <w:i/>
          <w:iCs/>
        </w:rPr>
        <w:t xml:space="preserve"> – Records Retention Table 11 Member Account Records  </w:t>
      </w:r>
    </w:p>
    <w:p w14:paraId="769FF41E" w14:textId="77777777" w:rsidR="00475AE0" w:rsidRDefault="00475AE0" w:rsidP="00475AE0">
      <w:pPr>
        <w:spacing w:after="0"/>
        <w:rPr>
          <w:b/>
          <w:bCs/>
          <w:i/>
          <w:iCs/>
        </w:rPr>
      </w:pPr>
      <w:r w:rsidRPr="000226AA">
        <w:rPr>
          <w:b/>
          <w:bCs/>
          <w:i/>
          <w:iCs/>
        </w:rPr>
        <w:t>2026-</w:t>
      </w:r>
      <w:r>
        <w:rPr>
          <w:b/>
          <w:bCs/>
          <w:i/>
          <w:iCs/>
        </w:rPr>
        <w:t>3</w:t>
      </w:r>
    </w:p>
    <w:p w14:paraId="71650FC4" w14:textId="77777777" w:rsidR="00475AE0" w:rsidRDefault="00475AE0" w:rsidP="00475AE0">
      <w:r w:rsidRPr="00635855">
        <w:t>On July 16, 2026, the </w:t>
      </w:r>
      <w:hyperlink r:id="rId9" w:history="1">
        <w:r w:rsidRPr="00635855">
          <w:rPr>
            <w:rStyle w:val="Hyperlink"/>
          </w:rPr>
          <w:t>NCUA’s amended Records Preservation Program</w:t>
        </w:r>
      </w:hyperlink>
      <w:r w:rsidRPr="00635855">
        <w:t> (Part 749) will become effective. Changes to the Records Retention policies and schedules have been revised to comply with the revisions, and the corresponding deletion of Appendix A – Record Retention Guidelines and Appendix B – Catastrophic Act Preparedness Guidelines.</w:t>
      </w:r>
      <w:r>
        <w:t xml:space="preserve"> </w:t>
      </w:r>
      <w:r w:rsidRPr="00635855">
        <w:rPr>
          <w:b/>
          <w:bCs/>
          <w:color w:val="EE0000"/>
        </w:rPr>
        <w:t>(Recommended)</w:t>
      </w:r>
    </w:p>
    <w:p w14:paraId="2C0FE0BB" w14:textId="77777777" w:rsidR="00475AE0" w:rsidRDefault="00475AE0" w:rsidP="00F94286"/>
    <w:p w14:paraId="29EF06AD" w14:textId="4B2D3CBB" w:rsidR="00DB4E64" w:rsidRPr="000226AA" w:rsidRDefault="00DB4E64" w:rsidP="00DB4E64">
      <w:pPr>
        <w:spacing w:after="0"/>
        <w:rPr>
          <w:b/>
          <w:bCs/>
          <w:i/>
          <w:iCs/>
        </w:rPr>
      </w:pPr>
      <w:r>
        <w:rPr>
          <w:b/>
          <w:bCs/>
          <w:i/>
          <w:iCs/>
        </w:rPr>
        <w:t>10</w:t>
      </w:r>
      <w:r w:rsidR="00C74AA6">
        <w:rPr>
          <w:b/>
          <w:bCs/>
          <w:i/>
          <w:iCs/>
        </w:rPr>
        <w:t>100</w:t>
      </w:r>
      <w:r>
        <w:rPr>
          <w:b/>
          <w:bCs/>
          <w:i/>
          <w:iCs/>
        </w:rPr>
        <w:t xml:space="preserve"> – Records Retention </w:t>
      </w:r>
      <w:r w:rsidR="00A67E7A">
        <w:rPr>
          <w:b/>
          <w:bCs/>
          <w:i/>
          <w:iCs/>
        </w:rPr>
        <w:t xml:space="preserve"> </w:t>
      </w:r>
      <w:r>
        <w:rPr>
          <w:b/>
          <w:bCs/>
          <w:i/>
          <w:iCs/>
        </w:rPr>
        <w:t xml:space="preserve"> </w:t>
      </w:r>
    </w:p>
    <w:p w14:paraId="51DFEAF2" w14:textId="1D819406" w:rsidR="00DB4E64" w:rsidRDefault="00DB4E64" w:rsidP="00DB4E64">
      <w:pPr>
        <w:spacing w:after="0"/>
        <w:rPr>
          <w:b/>
          <w:bCs/>
          <w:i/>
          <w:iCs/>
        </w:rPr>
      </w:pPr>
      <w:r w:rsidRPr="000226AA">
        <w:rPr>
          <w:b/>
          <w:bCs/>
          <w:i/>
          <w:iCs/>
        </w:rPr>
        <w:t>2026-</w:t>
      </w:r>
      <w:r>
        <w:rPr>
          <w:b/>
          <w:bCs/>
          <w:i/>
          <w:iCs/>
        </w:rPr>
        <w:t>3</w:t>
      </w:r>
      <w:r w:rsidR="00FA1EA3">
        <w:rPr>
          <w:b/>
          <w:bCs/>
          <w:i/>
          <w:iCs/>
        </w:rPr>
        <w:br/>
      </w:r>
      <w:r w:rsidR="00FA1EA3" w:rsidRPr="00FA1EA3">
        <w:rPr>
          <w:b/>
          <w:bCs/>
          <w:i/>
          <w:iCs/>
          <w:u w:val="single"/>
        </w:rPr>
        <w:t>Note</w:t>
      </w:r>
      <w:r w:rsidR="00FA1EA3">
        <w:rPr>
          <w:b/>
          <w:bCs/>
          <w:i/>
          <w:iCs/>
        </w:rPr>
        <w:t xml:space="preserve">: </w:t>
      </w:r>
      <w:r w:rsidR="00FA1EA3" w:rsidRPr="00FA1EA3">
        <w:rPr>
          <w:b/>
          <w:bCs/>
          <w:i/>
          <w:iCs/>
        </w:rPr>
        <w:t xml:space="preserve">This policy has undergone substantial revisions, including significant reorganization of content and renumbering of sections. For many clients, it may be more efficient to re-import the latest model content and re-customize if needed rather than manually updating the existing policy. Please </w:t>
      </w:r>
      <w:hyperlink r:id="rId10" w:history="1">
        <w:r w:rsidR="00FA1EA3" w:rsidRPr="00FA1EA3">
          <w:rPr>
            <w:rStyle w:val="Hyperlink"/>
            <w:b/>
            <w:bCs/>
            <w:i/>
            <w:iCs/>
          </w:rPr>
          <w:t>Contact Our Support staff</w:t>
        </w:r>
      </w:hyperlink>
      <w:r w:rsidR="00FA1EA3" w:rsidRPr="00FA1EA3">
        <w:rPr>
          <w:b/>
          <w:bCs/>
          <w:i/>
          <w:iCs/>
        </w:rPr>
        <w:t xml:space="preserve"> with questions or if you need assistance with this process</w:t>
      </w:r>
      <w:r w:rsidR="00FA1EA3">
        <w:rPr>
          <w:b/>
          <w:bCs/>
          <w:i/>
          <w:iCs/>
        </w:rPr>
        <w:t>.</w:t>
      </w:r>
    </w:p>
    <w:p w14:paraId="1645266D" w14:textId="77777777" w:rsidR="00DB4E64" w:rsidRDefault="00DB4E64" w:rsidP="00DB4E64">
      <w:pPr>
        <w:rPr>
          <w:b/>
          <w:bCs/>
          <w:color w:val="EE0000"/>
        </w:rPr>
      </w:pPr>
      <w:r w:rsidRPr="00635855">
        <w:t>On July 16, 2026, the </w:t>
      </w:r>
      <w:hyperlink r:id="rId11" w:history="1">
        <w:r w:rsidRPr="00635855">
          <w:rPr>
            <w:rStyle w:val="Hyperlink"/>
          </w:rPr>
          <w:t>NCUA’s amended Records Preservation Program</w:t>
        </w:r>
      </w:hyperlink>
      <w:r w:rsidRPr="00635855">
        <w:t> (Part 749) will become effective. Changes to the Records Retention policies and schedules have been revised to comply with the revisions, and the corresponding deletion of Appendix A – Record Retention Guidelines and Appendix B – Catastrophic Act Preparedness Guidelines.</w:t>
      </w:r>
      <w:r>
        <w:t xml:space="preserve"> </w:t>
      </w:r>
      <w:r w:rsidRPr="00635855">
        <w:rPr>
          <w:b/>
          <w:bCs/>
          <w:color w:val="EE0000"/>
        </w:rPr>
        <w:t>(Recommended)</w:t>
      </w:r>
    </w:p>
    <w:p w14:paraId="26C2B363" w14:textId="77777777" w:rsidR="00C64B5F" w:rsidRDefault="00C64B5F" w:rsidP="00DB4E64">
      <w:pPr>
        <w:rPr>
          <w:b/>
          <w:bCs/>
          <w:color w:val="EE0000"/>
        </w:rPr>
      </w:pPr>
    </w:p>
    <w:p w14:paraId="7FD08D96" w14:textId="0E792D95" w:rsidR="00C64B5F" w:rsidRPr="000226AA" w:rsidRDefault="00C64B5F" w:rsidP="00C64B5F">
      <w:pPr>
        <w:spacing w:after="0"/>
        <w:rPr>
          <w:b/>
          <w:bCs/>
          <w:i/>
          <w:iCs/>
        </w:rPr>
      </w:pPr>
      <w:r>
        <w:rPr>
          <w:b/>
          <w:bCs/>
          <w:i/>
          <w:iCs/>
        </w:rPr>
        <w:t>7120</w:t>
      </w:r>
      <w:r w:rsidR="00E43825">
        <w:rPr>
          <w:b/>
          <w:bCs/>
          <w:i/>
          <w:iCs/>
        </w:rPr>
        <w:t xml:space="preserve"> – Fair Lending</w:t>
      </w:r>
      <w:r>
        <w:rPr>
          <w:b/>
          <w:bCs/>
          <w:i/>
          <w:iCs/>
        </w:rPr>
        <w:t xml:space="preserve">   </w:t>
      </w:r>
    </w:p>
    <w:p w14:paraId="419F7E2B" w14:textId="7D2A9E74" w:rsidR="00C64B5F" w:rsidRDefault="00C64B5F" w:rsidP="00E43825">
      <w:pPr>
        <w:spacing w:after="0"/>
      </w:pPr>
      <w:r w:rsidRPr="000226AA">
        <w:rPr>
          <w:b/>
          <w:bCs/>
          <w:i/>
          <w:iCs/>
        </w:rPr>
        <w:t>2026-</w:t>
      </w:r>
      <w:r>
        <w:rPr>
          <w:b/>
          <w:bCs/>
          <w:i/>
          <w:iCs/>
        </w:rPr>
        <w:t>3</w:t>
      </w:r>
      <w:r>
        <w:rPr>
          <w:b/>
          <w:bCs/>
          <w:i/>
          <w:iCs/>
        </w:rPr>
        <w:br/>
      </w:r>
      <w:r w:rsidR="004C4DF5" w:rsidRPr="004C4DF5">
        <w:t xml:space="preserve">On April 22, 2026, the Consumer Financial Protection Bureau published a final rule that makes changes to Regulation B (Equal Credit Opportunity Act). Among the changes are a) removal of disparate impact liability, b) clarification on what constitutes discouragement, and c) additional restrictions on special purpose credit programs offered by for-profit organizations. The Equal Credit Opportunity Act and Fair Lending channels in InfoSight360 have been updated to reflect the final rule. In addition, model policy #7120 (Fair Lending) has also been updated. The changes are effective July 21, 2026. </w:t>
      </w:r>
      <w:r w:rsidRPr="00635855">
        <w:rPr>
          <w:b/>
          <w:bCs/>
          <w:color w:val="EE0000"/>
        </w:rPr>
        <w:t>(Recommended)</w:t>
      </w:r>
    </w:p>
    <w:p w14:paraId="24B88F22" w14:textId="77777777" w:rsidR="00DB4E64" w:rsidRDefault="00DB4E64" w:rsidP="00F94286"/>
    <w:sectPr w:rsidR="00DB4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86"/>
    <w:rsid w:val="00020773"/>
    <w:rsid w:val="000226AA"/>
    <w:rsid w:val="0004105F"/>
    <w:rsid w:val="000451FF"/>
    <w:rsid w:val="00050FDC"/>
    <w:rsid w:val="00060C87"/>
    <w:rsid w:val="000A0D1C"/>
    <w:rsid w:val="000C4953"/>
    <w:rsid w:val="000D3CF1"/>
    <w:rsid w:val="000D76F5"/>
    <w:rsid w:val="000E7A46"/>
    <w:rsid w:val="000F76EB"/>
    <w:rsid w:val="00112A5D"/>
    <w:rsid w:val="001276BC"/>
    <w:rsid w:val="0014570B"/>
    <w:rsid w:val="00153FCD"/>
    <w:rsid w:val="0015405D"/>
    <w:rsid w:val="00175555"/>
    <w:rsid w:val="001A751A"/>
    <w:rsid w:val="001B3B1D"/>
    <w:rsid w:val="001C53E4"/>
    <w:rsid w:val="001D767E"/>
    <w:rsid w:val="00202565"/>
    <w:rsid w:val="00202720"/>
    <w:rsid w:val="00220720"/>
    <w:rsid w:val="0024142D"/>
    <w:rsid w:val="00245F4B"/>
    <w:rsid w:val="00251A0B"/>
    <w:rsid w:val="00271E80"/>
    <w:rsid w:val="0027567A"/>
    <w:rsid w:val="0029618A"/>
    <w:rsid w:val="002A1A87"/>
    <w:rsid w:val="002C7E21"/>
    <w:rsid w:val="002D3E06"/>
    <w:rsid w:val="002E579D"/>
    <w:rsid w:val="002E5C0B"/>
    <w:rsid w:val="003241A6"/>
    <w:rsid w:val="0036516D"/>
    <w:rsid w:val="00375933"/>
    <w:rsid w:val="00377DD9"/>
    <w:rsid w:val="003D5BFA"/>
    <w:rsid w:val="003F7285"/>
    <w:rsid w:val="004118B7"/>
    <w:rsid w:val="00433F30"/>
    <w:rsid w:val="00441325"/>
    <w:rsid w:val="004429CC"/>
    <w:rsid w:val="004648F5"/>
    <w:rsid w:val="004669D8"/>
    <w:rsid w:val="00473C82"/>
    <w:rsid w:val="00475AE0"/>
    <w:rsid w:val="00493A05"/>
    <w:rsid w:val="004A17FC"/>
    <w:rsid w:val="004C0470"/>
    <w:rsid w:val="004C0F2F"/>
    <w:rsid w:val="004C430D"/>
    <w:rsid w:val="004C4DF5"/>
    <w:rsid w:val="004D101B"/>
    <w:rsid w:val="004E42F0"/>
    <w:rsid w:val="004E7585"/>
    <w:rsid w:val="00501741"/>
    <w:rsid w:val="00502036"/>
    <w:rsid w:val="00514ABC"/>
    <w:rsid w:val="00520C36"/>
    <w:rsid w:val="0054483A"/>
    <w:rsid w:val="005523C3"/>
    <w:rsid w:val="00555EB6"/>
    <w:rsid w:val="00561129"/>
    <w:rsid w:val="0056376A"/>
    <w:rsid w:val="0058347D"/>
    <w:rsid w:val="005971B8"/>
    <w:rsid w:val="005B1C9E"/>
    <w:rsid w:val="005B2C08"/>
    <w:rsid w:val="005D0C3B"/>
    <w:rsid w:val="005D76DB"/>
    <w:rsid w:val="005E0AB2"/>
    <w:rsid w:val="005F4F04"/>
    <w:rsid w:val="0061340F"/>
    <w:rsid w:val="00621EC0"/>
    <w:rsid w:val="00632876"/>
    <w:rsid w:val="00635855"/>
    <w:rsid w:val="006512C5"/>
    <w:rsid w:val="0065400C"/>
    <w:rsid w:val="00655E38"/>
    <w:rsid w:val="00680C17"/>
    <w:rsid w:val="006950A8"/>
    <w:rsid w:val="006A065D"/>
    <w:rsid w:val="007145AF"/>
    <w:rsid w:val="00716172"/>
    <w:rsid w:val="007218E0"/>
    <w:rsid w:val="007220CD"/>
    <w:rsid w:val="00732E16"/>
    <w:rsid w:val="007505E7"/>
    <w:rsid w:val="0075071B"/>
    <w:rsid w:val="00772F0D"/>
    <w:rsid w:val="0077553E"/>
    <w:rsid w:val="007A2EE3"/>
    <w:rsid w:val="007E6BC4"/>
    <w:rsid w:val="0081053C"/>
    <w:rsid w:val="008124F3"/>
    <w:rsid w:val="00827E18"/>
    <w:rsid w:val="00837CD4"/>
    <w:rsid w:val="00872316"/>
    <w:rsid w:val="008733B4"/>
    <w:rsid w:val="0088083A"/>
    <w:rsid w:val="00883328"/>
    <w:rsid w:val="00885579"/>
    <w:rsid w:val="0089490E"/>
    <w:rsid w:val="00896003"/>
    <w:rsid w:val="008B7D27"/>
    <w:rsid w:val="008C230D"/>
    <w:rsid w:val="008F3A27"/>
    <w:rsid w:val="00900FE4"/>
    <w:rsid w:val="009815A8"/>
    <w:rsid w:val="00983FF6"/>
    <w:rsid w:val="009A0634"/>
    <w:rsid w:val="009A5310"/>
    <w:rsid w:val="009B00C3"/>
    <w:rsid w:val="009C5321"/>
    <w:rsid w:val="009E03C0"/>
    <w:rsid w:val="009E3C3C"/>
    <w:rsid w:val="00A26950"/>
    <w:rsid w:val="00A51C07"/>
    <w:rsid w:val="00A67E7A"/>
    <w:rsid w:val="00A8008A"/>
    <w:rsid w:val="00A932CD"/>
    <w:rsid w:val="00AA70A1"/>
    <w:rsid w:val="00AA76D6"/>
    <w:rsid w:val="00B0107C"/>
    <w:rsid w:val="00B13637"/>
    <w:rsid w:val="00B23CAA"/>
    <w:rsid w:val="00B501CB"/>
    <w:rsid w:val="00B5468C"/>
    <w:rsid w:val="00B62C49"/>
    <w:rsid w:val="00B65B13"/>
    <w:rsid w:val="00B8600F"/>
    <w:rsid w:val="00B96546"/>
    <w:rsid w:val="00BD2518"/>
    <w:rsid w:val="00C0294C"/>
    <w:rsid w:val="00C14870"/>
    <w:rsid w:val="00C50889"/>
    <w:rsid w:val="00C64B5F"/>
    <w:rsid w:val="00C74AA6"/>
    <w:rsid w:val="00C93194"/>
    <w:rsid w:val="00C96773"/>
    <w:rsid w:val="00CB2756"/>
    <w:rsid w:val="00CD1B6E"/>
    <w:rsid w:val="00CE34A5"/>
    <w:rsid w:val="00CE5B8B"/>
    <w:rsid w:val="00CE612B"/>
    <w:rsid w:val="00D320F9"/>
    <w:rsid w:val="00D36428"/>
    <w:rsid w:val="00D37246"/>
    <w:rsid w:val="00D40284"/>
    <w:rsid w:val="00D42B55"/>
    <w:rsid w:val="00D43628"/>
    <w:rsid w:val="00D71115"/>
    <w:rsid w:val="00DB4E64"/>
    <w:rsid w:val="00DB7DDE"/>
    <w:rsid w:val="00DD3DED"/>
    <w:rsid w:val="00DE0CA0"/>
    <w:rsid w:val="00DE3B32"/>
    <w:rsid w:val="00E13B27"/>
    <w:rsid w:val="00E21103"/>
    <w:rsid w:val="00E22947"/>
    <w:rsid w:val="00E367F7"/>
    <w:rsid w:val="00E43825"/>
    <w:rsid w:val="00E70AED"/>
    <w:rsid w:val="00E70F55"/>
    <w:rsid w:val="00EA0EB3"/>
    <w:rsid w:val="00EA1B61"/>
    <w:rsid w:val="00EB2633"/>
    <w:rsid w:val="00EE0710"/>
    <w:rsid w:val="00EF6DF7"/>
    <w:rsid w:val="00F236B0"/>
    <w:rsid w:val="00F449A2"/>
    <w:rsid w:val="00F8524E"/>
    <w:rsid w:val="00F94286"/>
    <w:rsid w:val="00FA09A2"/>
    <w:rsid w:val="00FA1EA3"/>
    <w:rsid w:val="00FC41A7"/>
    <w:rsid w:val="00FF0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404B"/>
  <w15:chartTrackingRefBased/>
  <w15:docId w15:val="{5BB51A3B-3DE7-4862-B791-0E9538E2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2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2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2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2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2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2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2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2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2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2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2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2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2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286"/>
    <w:rPr>
      <w:rFonts w:eastAsiaTheme="majorEastAsia" w:cstheme="majorBidi"/>
      <w:color w:val="272727" w:themeColor="text1" w:themeTint="D8"/>
    </w:rPr>
  </w:style>
  <w:style w:type="paragraph" w:styleId="Title">
    <w:name w:val="Title"/>
    <w:basedOn w:val="Normal"/>
    <w:next w:val="Normal"/>
    <w:link w:val="TitleChar"/>
    <w:uiPriority w:val="10"/>
    <w:qFormat/>
    <w:rsid w:val="00F94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2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286"/>
    <w:pPr>
      <w:spacing w:before="160"/>
      <w:jc w:val="center"/>
    </w:pPr>
    <w:rPr>
      <w:i/>
      <w:iCs/>
      <w:color w:val="404040" w:themeColor="text1" w:themeTint="BF"/>
    </w:rPr>
  </w:style>
  <w:style w:type="character" w:customStyle="1" w:styleId="QuoteChar">
    <w:name w:val="Quote Char"/>
    <w:basedOn w:val="DefaultParagraphFont"/>
    <w:link w:val="Quote"/>
    <w:uiPriority w:val="29"/>
    <w:rsid w:val="00F94286"/>
    <w:rPr>
      <w:i/>
      <w:iCs/>
      <w:color w:val="404040" w:themeColor="text1" w:themeTint="BF"/>
    </w:rPr>
  </w:style>
  <w:style w:type="paragraph" w:styleId="ListParagraph">
    <w:name w:val="List Paragraph"/>
    <w:basedOn w:val="Normal"/>
    <w:uiPriority w:val="34"/>
    <w:qFormat/>
    <w:rsid w:val="00F94286"/>
    <w:pPr>
      <w:ind w:left="720"/>
      <w:contextualSpacing/>
    </w:pPr>
  </w:style>
  <w:style w:type="character" w:styleId="IntenseEmphasis">
    <w:name w:val="Intense Emphasis"/>
    <w:basedOn w:val="DefaultParagraphFont"/>
    <w:uiPriority w:val="21"/>
    <w:qFormat/>
    <w:rsid w:val="00F94286"/>
    <w:rPr>
      <w:i/>
      <w:iCs/>
      <w:color w:val="0F4761" w:themeColor="accent1" w:themeShade="BF"/>
    </w:rPr>
  </w:style>
  <w:style w:type="paragraph" w:styleId="IntenseQuote">
    <w:name w:val="Intense Quote"/>
    <w:basedOn w:val="Normal"/>
    <w:next w:val="Normal"/>
    <w:link w:val="IntenseQuoteChar"/>
    <w:uiPriority w:val="30"/>
    <w:qFormat/>
    <w:rsid w:val="00F94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286"/>
    <w:rPr>
      <w:i/>
      <w:iCs/>
      <w:color w:val="0F4761" w:themeColor="accent1" w:themeShade="BF"/>
    </w:rPr>
  </w:style>
  <w:style w:type="character" w:styleId="IntenseReference">
    <w:name w:val="Intense Reference"/>
    <w:basedOn w:val="DefaultParagraphFont"/>
    <w:uiPriority w:val="32"/>
    <w:qFormat/>
    <w:rsid w:val="00F94286"/>
    <w:rPr>
      <w:b/>
      <w:bCs/>
      <w:smallCaps/>
      <w:color w:val="0F4761" w:themeColor="accent1" w:themeShade="BF"/>
      <w:spacing w:val="5"/>
    </w:rPr>
  </w:style>
  <w:style w:type="character" w:styleId="Hyperlink">
    <w:name w:val="Hyperlink"/>
    <w:basedOn w:val="DefaultParagraphFont"/>
    <w:uiPriority w:val="99"/>
    <w:unhideWhenUsed/>
    <w:rsid w:val="00DE0CA0"/>
    <w:rPr>
      <w:color w:val="467886" w:themeColor="hyperlink"/>
      <w:u w:val="single"/>
    </w:rPr>
  </w:style>
  <w:style w:type="character" w:styleId="UnresolvedMention">
    <w:name w:val="Unresolved Mention"/>
    <w:basedOn w:val="DefaultParagraphFont"/>
    <w:uiPriority w:val="99"/>
    <w:semiHidden/>
    <w:unhideWhenUsed/>
    <w:rsid w:val="00DE0CA0"/>
    <w:rPr>
      <w:color w:val="605E5C"/>
      <w:shd w:val="clear" w:color="auto" w:fill="E1DFDD"/>
    </w:rPr>
  </w:style>
  <w:style w:type="character" w:styleId="FollowedHyperlink">
    <w:name w:val="FollowedHyperlink"/>
    <w:basedOn w:val="DefaultParagraphFont"/>
    <w:uiPriority w:val="99"/>
    <w:semiHidden/>
    <w:unhideWhenUsed/>
    <w:rsid w:val="008733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FR-2026-06-16/pdf/2026-12058.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ovinfo.gov/content/pkg/FR-2026-06-16/pdf/2026-12058.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info.gov/content/pkg/FR-2026-06-16/pdf/2026-12058.pdf" TargetMode="External"/><Relationship Id="rId11" Type="http://schemas.openxmlformats.org/officeDocument/2006/relationships/hyperlink" Target="https://www.govinfo.gov/content/pkg/FR-2026-06-16/pdf/2026-12058.pdf" TargetMode="External"/><Relationship Id="rId5" Type="http://schemas.openxmlformats.org/officeDocument/2006/relationships/hyperlink" Target="https://www.govinfo.gov/content/pkg/FR-2026-06-16/pdf/2026-12058.pdf" TargetMode="External"/><Relationship Id="rId10" Type="http://schemas.openxmlformats.org/officeDocument/2006/relationships/hyperlink" Target="https://i360support.secure.cusolutionsgroup.net/support-home/contact-us" TargetMode="External"/><Relationship Id="rId4" Type="http://schemas.openxmlformats.org/officeDocument/2006/relationships/hyperlink" Target="https://www.fincen.gov/system/files/shared/314bfactsheet.pdf" TargetMode="External"/><Relationship Id="rId9" Type="http://schemas.openxmlformats.org/officeDocument/2006/relationships/hyperlink" Target="https://www.govinfo.gov/content/pkg/FR-2026-06-16/pdf/2026-1205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Glory LeDu</dc:creator>
  <cp:keywords/>
  <dc:description/>
  <cp:lastModifiedBy>Rhonda Criss</cp:lastModifiedBy>
  <cp:revision>7</cp:revision>
  <dcterms:created xsi:type="dcterms:W3CDTF">2026-07-20T14:01:00Z</dcterms:created>
  <dcterms:modified xsi:type="dcterms:W3CDTF">2026-07-21T13:35:00Z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71fe51e0-e83a-4df9-b946-edcdfc60b56d</vt:lpwstr>
  </property>
</Properties>
</file>